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BetrAVStatV 3</w:t>
      </w:r>
    </w:p>
    <w:p>
      <w:r>
        <w:rPr>
          <w:color w:val="555555"/>
          <w:sz w:val="18"/>
        </w:rPr>
        <w:t xml:space="preserve">3. Betriebliche Altersversorgungsstatistikverordnung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Abs. 2 des Bundesstatistikgesetzes vom 22. Januar 1987 (BGBl. I S. 462, 565) verordnet die Bundesregierung:</w:t>
      </w:r>
    </w:p>
    <w:p>
      <w:r>
        <w:rPr>
          <w:color w:val="555555"/>
          <w:sz w:val="17"/>
        </w:rPr>
        <w:t xml:space="preserve">Zitiervorschlag: Eingangsformel BetrAVStatV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https://recht.nulegal.eu/gesetze/BetrAVStatV%203/eingangsformel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