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BetrAVStatV 3 — Berichtszeitraum/Berichtszeitpunkt</w:t>
      </w:r>
    </w:p>
    <w:p>
      <w:r>
        <w:rPr>
          <w:color w:val="555555"/>
          <w:sz w:val="18"/>
        </w:rPr>
        <w:t xml:space="preserve">3. Betriebliche Altersversorgungsstatistikverordnung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Erhebungen werden, soweit nichts Abweichendes geregelt ist, nach dem Stand vom 31. Dezember 1990 durchgeführt.</w:t>
      </w:r>
    </w:p>
    <w:p>
      <w:r>
        <w:t xml:space="preserve">(2) Soweit sich Erhebungsmerkmale auf Zeiträume beziehen, ist das Kalenderjahr 1990 Berichtszeitraum. Decken sich Kalenderjahr und Geschäftsjahr nicht, so gilt das im Kalenderjahr 1990 endende Geschäftsjahr als Berichtszeitraum.</w:t>
      </w:r>
    </w:p>
    <w:p>
      <w:r>
        <w:rPr>
          <w:color w:val="555555"/>
          <w:sz w:val="17"/>
        </w:rPr>
        <w:t xml:space="preserve">Zitiervorschlag: § 6 BetrAVStatV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https://recht.nulegal.eu/gesetze/BetrAVStatV%203/6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