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BetrAVStatV 3 — Auskunftserteilung</w:t>
      </w:r>
    </w:p>
    <w:p>
      <w:r>
        <w:rPr>
          <w:color w:val="555555"/>
          <w:sz w:val="18"/>
        </w:rPr>
        <w:t xml:space="preserve">3. Betriebliche Altersversorgungsstatistikverordnung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die Statistik über Art und Umfang der betrieblichen Altersversorgung besteht Auskunftspflicht. Auskunftspflichtig ist der Inhaber oder Leiter des Unternehmens.</w:t>
      </w:r>
    </w:p>
    <w:p>
      <w:r>
        <w:t xml:space="preserve">(2) Die Angaben zu den Merkmalen nach § 3 Abs. 2 Nr. 8 bis 10, 13 bis 15 sind aus den bei dem Auskunftspflichtigen vorhandenen Unterlagen zu erteilen.</w:t>
      </w:r>
    </w:p>
    <w:p>
      <w:r>
        <w:t xml:space="preserve">(3) Die Angaben zu § 3 Abs. 1 Nr. 9 und § 4 Nr. 2 sind freiwillig.</w:t>
      </w:r>
    </w:p>
    <w:p>
      <w:r>
        <w:rPr>
          <w:color w:val="555555"/>
          <w:sz w:val="17"/>
        </w:rPr>
        <w:t xml:space="preserve">Zitiervorschlag: § 5 BetrAVStatV 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https://recht.nulegal.eu/gesetze/BetrAVStatV%203/5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