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BetrAVStatV 3 — Hilfsmerkmale</w:t>
      </w:r>
    </w:p>
    <w:p>
      <w:r>
        <w:rPr>
          <w:color w:val="555555"/>
          <w:sz w:val="18"/>
        </w:rPr>
        <w:t xml:space="preserve">3. Betriebliche Altersversorgungsstatistikverordnung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Hilfsmerkmale sind</w:t>
      </w:r>
    </w:p>
    <w:p>
      <w:pPr>
        <w:ind w:left="420"/>
      </w:pPr>
      <w:r>
        <w:t xml:space="preserve">1. Name und Anschrift des Unternehmens,</w:t>
      </w:r>
    </w:p>
    <w:p>
      <w:pPr>
        <w:ind w:left="420"/>
      </w:pPr>
      <w:r>
        <w:t xml:space="preserve">2. Name und Telefonnummer der für eventuelle Rückfragen zur Verfügung stehenden Personen.</w:t>
      </w:r>
    </w:p>
    <w:p>
      <w:r>
        <w:rPr>
          <w:color w:val="555555"/>
          <w:sz w:val="17"/>
        </w:rPr>
        <w:t xml:space="preserve">Zitiervorschlag: § 4 BetrAVStatV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https://recht.nulegal.eu/gesetze/BetrAVStatV%203/4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