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Anhang EV BetrAVG — Auszug aus EinigVtr Anlage I Kapitel VIII Sachgebiet A Abschnitt III (BGBl. II 1990, 889, 1024) - Maßgaben für das beigetretene Gebiet (Art. 3 EinigVtr) -</w:t>
      </w:r>
    </w:p>
    <w:p>
      <w:r>
        <w:rPr>
          <w:color w:val="555555"/>
          <w:sz w:val="18"/>
        </w:rPr>
        <w:t xml:space="preserve">Betriebsrentengesetz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Abschnitt III Bundesrecht tritt in dem in Artikel 3 des Vertrages genannten Gebiet mit folgenden Maßgaben in Kraft: ...</w:t>
      </w:r>
    </w:p>
    <w:p>
      <w:pPr>
        <w:ind w:left="420"/>
      </w:pPr>
      <w:r>
        <w:t xml:space="preserve">16. Gesetz zur Verbesserung der betrieblichen Altersversorgung vom 19. Dezember 1974 (BGBl. I S. 3610), zuletzt geändert durch Artikel 33 des Gesetzes vom 18. Dezember 1986 (BGBl. I S. 2261; 1990 I S. 1337),mit folgenden Maßgaben:</w:t>
      </w:r>
    </w:p>
    <w:p>
      <w:pPr>
        <w:ind w:left="780"/>
      </w:pPr>
      <w:r>
        <w:t xml:space="preserve">a) Dieses Gesetz tritt am 1. Januar 1992 in Kraft.</w:t>
      </w:r>
    </w:p>
    <w:p>
      <w:pPr>
        <w:ind w:left="780"/>
      </w:pPr>
      <w:r>
        <w:t xml:space="preserve">b) §§ 1 bis 18 finden auf Zusagen über Leistungen der betrieblichen Altersversorgung Anwendung, die nach dem 31. Dezember 1991 erteilt werden; die Nachversicherung gemäß § 18 Abs. 6 von Zeiten vor dem 1. Januar 1992 ist ausgeschlossen.</w:t>
      </w:r>
    </w:p>
    <w:p>
      <w:pPr>
        <w:ind w:left="780"/>
      </w:pPr>
      <w:r>
        <w:t xml:space="preserve">c) §§ 26 bis 30 sind nicht anzuwenden.</w:t>
      </w:r>
    </w:p>
    <w:p>
      <w:r>
        <w:t xml:space="preserve">...</w:t>
      </w:r>
    </w:p>
    <w:p>
      <w:r>
        <w:rPr>
          <w:color w:val="555555"/>
          <w:sz w:val="17"/>
        </w:rPr>
        <w:t xml:space="preserve">Zitiervorschlag: Anhang EV BetrAVG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https://recht.nulegal.eu/gesetze/BetrAVG/anhang-ev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