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BetrAVG — Auskunftspflichten</w:t>
      </w:r>
    </w:p>
    <w:p>
      <w:r>
        <w:rPr>
          <w:color w:val="555555"/>
          <w:sz w:val="18"/>
        </w:rPr>
        <w:t xml:space="preserve">Betriebsrentengesetz</w:t>
      </w:r>
    </w:p>
    <w:p>
      <w:r>
        <w:rPr>
          <w:color w:val="555555"/>
          <w:sz w:val="18"/>
        </w:rPr>
        <w:t xml:space="preserve">Stand: 10.06.2019 (konsolidierte Textfassung, kein amtliches Inkrafttretensdatum)</w:t>
      </w:r>
    </w:p>
    <w:p>
      <w:r>
        <w:t xml:space="preserve">(1) Der Arbeitgeber oder der Versorgungsträger hat dem Arbeitnehmer auf dessen Verlangen mitzuteilen,</w:t>
      </w:r>
    </w:p>
    <w:p>
      <w:pPr>
        <w:ind w:left="420"/>
      </w:pPr>
      <w:r>
        <w:t xml:space="preserve">1. ob und wie eine Anwartschaft auf betriebliche Altersversorgung erworben wird,</w:t>
      </w:r>
    </w:p>
    <w:p>
      <w:pPr>
        <w:ind w:left="420"/>
      </w:pPr>
      <w:r>
        <w:t xml:space="preserve">2. wie hoch der Anspruch auf betriebliche Altersversorgung aus der bisher erworbenen Anwartschaft ist und bei Erreichen der in der Versorgungsregelung vorgesehenen Altersgrenze voraussichtlich sein wird,</w:t>
      </w:r>
    </w:p>
    <w:p>
      <w:pPr>
        <w:ind w:left="420"/>
      </w:pPr>
      <w:r>
        <w:t xml:space="preserve">3. wie sich eine Beendigung des Arbeitsverhältnisses auf die Anwartschaft auswirkt und</w:t>
      </w:r>
    </w:p>
    <w:p>
      <w:pPr>
        <w:ind w:left="420"/>
      </w:pPr>
      <w:r>
        <w:t xml:space="preserve">4. wie sich die Anwartschaft nach einer Beendigung des Arbeitsverhältnisses entwickeln wird.</w:t>
      </w:r>
    </w:p>
    <w:p>
      <w:r>
        <w:t xml:space="preserve">(2) Der Arbeitgeber oder der Versorgungsträger hat dem Arbeitnehmer oder dem ausgeschiedenen Arbeitnehmer auf dessen Verlangen mitzuteilen, wie hoch bei einer Übertragung der Anwartschaft nach § 4 Absatz 3 der Übertragungswert ist. Der neue Arbeitgeber oder der Versorgungsträger hat dem Arbeitnehmer auf dessen Verlangen mitzuteilen, in welcher Höhe aus dem Übertragungswert ein Anspruch auf Altersversorgung bestehen würde und ob eine Invaliditäts- oder Hinterbliebenenversorgung bestehen würde.</w:t>
      </w:r>
    </w:p>
    <w:p>
      <w:r>
        <w:t xml:space="preserve">(3) Der Arbeitgeber oder der Versorgungsträger hat dem ausgeschiedenen Arbeitnehmer auf dessen Verlangen mitzuteilen, wie hoch die Anwartschaft auf betriebliche Altersversorgung ist und wie sich die Anwartschaft künftig entwickeln wird. Satz 1 gilt entsprechend für Hinterbliebene im Versorgungsfall.</w:t>
      </w:r>
    </w:p>
    <w:p>
      <w:r>
        <w:t xml:space="preserve">(4) Die Auskunft muss verständlich, in Textform und in angemessener Frist erteilt werden.</w:t>
      </w:r>
    </w:p>
    <w:p>
      <w:r>
        <w:rPr>
          <w:color w:val="555555"/>
          <w:sz w:val="17"/>
        </w:rPr>
        <w:t xml:space="preserve">Zitiervorschlag: § 4a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