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30j BetrAVG — Übergangsregelung zu § 20 Absatz 2</w:t>
      </w:r>
    </w:p>
    <w:p>
      <w:r>
        <w:rPr>
          <w:color w:val="555555"/>
          <w:sz w:val="18"/>
        </w:rPr>
        <w:t xml:space="preserve">Betriebsrentengesetz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20 Absatz 2 gilt nicht für Optionssysteme, die auf der Grundlage von Betriebs- oder Dienstvereinbarungen vor dem 1. Juni 2017 eingeführt worden sind.</w:t>
      </w:r>
    </w:p>
    <w:p>
      <w:r>
        <w:rPr>
          <w:color w:val="555555"/>
          <w:sz w:val="17"/>
        </w:rPr>
        <w:t xml:space="preserve">Zitiervorschlag: § 30j BetrAVG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https://recht.nulegal.eu/gesetze/BetrAVG/30j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