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30i BetrAVG</w:t>
      </w:r>
    </w:p>
    <w:p>
      <w:r>
        <w:rPr>
          <w:color w:val="555555"/>
          <w:sz w:val="18"/>
        </w:rPr>
        <w:t xml:space="preserve">Betriebsrentengesetz</w:t>
      </w:r>
    </w:p>
    <w:p>
      <w:r>
        <w:rPr>
          <w:color w:val="555555"/>
          <w:sz w:val="18"/>
        </w:rPr>
        <w:t xml:space="preserve">Stand: 10.06.2019 (konsolidierte Textfassung, kein amtliches Inkrafttretensdatum)</w:t>
      </w:r>
    </w:p>
    <w:p>
      <w:r>
        <w:t xml:space="preserve">(1) Der Barwert der bis zum 31. Dezember 2005 aufgrund eingetretener Insolvenzen zu sichernden Anwartschaften wird einmalig auf die beitragspflichtigen Arbeitgeber entsprechend § 10 Abs. 3 umgelegt und vom Träger der Insolvenzsicherung nach Maßgabe der Beträge zum Schluss des Wirtschaftsjahres, das im Jahr 2004 geendet hat, erhoben. Der Rechnungszinsfuß bei der Berechnung des Barwerts beträgt 3,67 vom Hundert.</w:t>
      </w:r>
    </w:p>
    <w:p>
      <w:r>
        <w:t xml:space="preserve">(2) Der Betrag ist in 15 gleichen Raten fällig. Die erste Rate wird am 31. März 2007 fällig, die weiteren zum 31. März der folgenden Kalenderjahre. Bei vorfälliger Zahlung erfolgt eine Diskontierung der einzelnen Jahresraten mit dem zum Zeitpunkt der Zahlung um ein Drittel erhöhten Rechnungszinsfuß nach der nach § 235 Nummer 4 des Versicherungsaufsichtsgesetzes erlassenen Rechtsverordnung, wobei nur volle Monate berücksichtigt werden.</w:t>
      </w:r>
    </w:p>
    <w:p>
      <w:r>
        <w:t xml:space="preserve">(3) Der abgezinste Gesamtbetrag ist gemäß Absatz 2 am 31. März 2007 fällig, wenn die sich ergebende Jahresrate nicht höher als 50 Euro ist.</w:t>
      </w:r>
    </w:p>
    <w:p>
      <w:r>
        <w:t xml:space="preserve">(4) Insolvenzbedingte Zahlungsausfälle von ausstehenden Raten werden im Jahr der Insolvenz in die erforderlichen jährlichen Beiträge gemäß § 10 Abs. 2 eingerechnet.</w:t>
      </w:r>
    </w:p>
    <w:p>
      <w:r>
        <w:rPr>
          <w:color w:val="555555"/>
          <w:sz w:val="17"/>
        </w:rPr>
        <w:t xml:space="preserve">Zitiervorschlag: § 30i BetrAVG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https://recht.nulegal.eu/gesetze/BetrAVG/30i</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