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30h BetrAVG</w:t>
      </w:r>
    </w:p>
    <w:p>
      <w:r>
        <w:rPr>
          <w:color w:val="555555"/>
          <w:sz w:val="18"/>
        </w:rPr>
        <w:t xml:space="preserve">Betriebsrentengesetz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20 Absatz 1 gilt für Entgeltumwandlungen, die auf Zusagen beruhen, die nach dem 29. Juni 2001 erteilt werden.</w:t>
      </w:r>
    </w:p>
    <w:p>
      <w:r>
        <w:rPr>
          <w:color w:val="555555"/>
          <w:sz w:val="17"/>
        </w:rPr>
        <w:t xml:space="preserve">Zitiervorschlag: § 30h BetrAVG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https://recht.nulegal.eu/gesetze/BetrAVG/30h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