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30d BetrAVG — Übergangsregelung zu § 18</w:t>
      </w:r>
    </w:p>
    <w:p>
      <w:r>
        <w:rPr>
          <w:color w:val="555555"/>
          <w:sz w:val="18"/>
        </w:rPr>
        <w:t xml:space="preserve">Betriebsrentengesetz</w:t>
      </w:r>
    </w:p>
    <w:p>
      <w:r>
        <w:rPr>
          <w:color w:val="555555"/>
          <w:sz w:val="18"/>
        </w:rPr>
        <w:t xml:space="preserve">Stand: 10.06.2019 (konsolidierte Textfassung, kein amtliches Inkrafttretensdatum)</w:t>
      </w:r>
    </w:p>
    <w:p>
      <w:r>
        <w:t xml:space="preserve">(1) Ist der Versorgungsfall vor dem 1. Januar 2001 eingetreten oder ist der Arbeitnehmer vor dem 1. Januar 2001 aus dem Beschäftigungsverhältnis bei einem öffentlichen Arbeitgeber ausgeschieden und der Versorgungsfall nach dem 31. Dezember 2000 und vor dem 2. Januar 2002 eingetreten, sind für die Berechnung der Voll-Leistung die Regelungen der Zusatzversorgungseinrichtungen nach § 18 Abs. 1 Satz 1 Nr. 1 und 2 oder die Gesetze im Sinne des § 18 Abs. 1 Satz 1 Nr. 3 sowie die weiteren Berechnungsfaktoren jeweils in der am 31. Dezember 2000 und vor dem 2. Januar 2002 geltenden Fassung maßgebend; § 18 Abs. 2 Nr. 1 Buchstabe b bleibt unberührt. Die Steuerklasse III/O ist zugrunde zu legen. Ist der Versorgungsfall vor dem 1. Januar 2001 eingetreten, besteht der Anspruch auf Zusatzrente mindestens in der Höhe, wie er sich aus § 18 in der Fassung vom 16. Dezember 1997 (BGBl. I S. 2998) ergibt.</w:t>
      </w:r>
    </w:p>
    <w:p>
      <w:r>
        <w:t xml:space="preserve">(2) Die Anwendung des § 18 ist in den Fällen des Absatzes 1 ausgeschlossen, soweit eine Versorgungsrente der in § 18 Abs. 1 Satz 1 Nr. 1 und 2 bezeichneten Zusatzversorgungseinrichtungen oder eine entsprechende Leistung aufgrund der Regelungen des Ersten Ruhegeldgesetzes, des Zweiten Ruhegeldgesetzes oder des Bremischen Ruhelohngesetzes bezogen wird, oder eine Versicherungsrente abgefunden wurde.</w:t>
      </w:r>
    </w:p>
    <w:p>
      <w:r>
        <w:t xml:space="preserve">(2a) Für Personen, deren Beschäftigungsverhältnis vor dem 1. Januar 2002 vor Eintritt des Versorgungsfalls geendet hat und deren Anwartschaft nach § 1b fortbesteht, haben die in § 18 Absatz 1 Satz 1 Nummer 1 und 2 bezeichneten Zusatzversorgungseinrichtungen bei Eintritt des Versorgungsfalls nach dem 1. Januar 2002 die Anwartschaft für Zeiten bis zum 1. Januar 2002 nach § 18 Absatz 2 unter Berücksichtigung des § 18 Absatz 5 zu ermitteln.</w:t>
      </w:r>
    </w:p>
    <w:p>
      <w:r>
        <w:t xml:space="preserve">(3) Für Arbeitnehmer im Sinne des § 18 Abs. 1 Satz 1 Nr. 4, 5 und 6 in der bis zum 31. Dezember 1998 geltenden Fassung, für die bis zum 31. Dezember 1998 ein Anspruch auf Nachversicherung nach § 18 Abs. 6 entstanden ist, gilt Absatz 1 Satz 1 für die aufgrund der Nachversicherung zu ermittelnde Voll-Leistung entsprechend mit der Maßgabe, dass sich der nach § 2 zu ermittelnde Anspruch gegen den ehemaligen Arbeitgeber richtet. Für den nach § 2 zu ermittelnden Anspruch gilt § 18 Abs. 2 Nr. 1 Buchstabe b entsprechend; für die übrigen Bemessungsfaktoren ist auf die Rechtslage am 31. Dezember 2000 abzustellen. Leistungen der gesetzlichen Rentenversicherung, die auf einer Nachversicherung wegen Ausscheidens aus einem Dienstordnungsverhältnis beruhen, und Leistungen, die die zuständige Versorgungseinrichtung aufgrund von Nachversicherungen im Sinne des § 18 Abs. 6 in der am 31. Dezember 1998 geltenden Fassung gewährt, werden auf den Anspruch nach § 2 angerechnet. Hat das Arbeitsverhältnis im Sinne des § 18 Abs. 9 bereits am 31. Dezember 1998 bestanden, ist in die Vergleichsberechnung nach § 18 Abs. 9 auch die Zusatzrente nach § 18 in der bis zum 31. Dezember 1998 geltenden Fassung einzubeziehen.</w:t>
      </w:r>
    </w:p>
    <w:p>
      <w:r>
        <w:rPr>
          <w:color w:val="555555"/>
          <w:sz w:val="17"/>
        </w:rPr>
        <w:t xml:space="preserve">Zitiervorschlag: § 30d BetrAVG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https://recht.nulegal.eu/gesetze/BetrAVG/30d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