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30c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16 Abs. 3 Nr. 1 gilt nur für laufende Leistungen, die auf Zusagen beruhen, die nach dem 31. Dezember 1998 erteilt werden.</w:t>
      </w:r>
    </w:p>
    <w:p>
      <w:r>
        <w:t xml:space="preserve">(1a) § 16 Absatz 3 Nummer 2 gilt auch für Anpassungszeiträume, die vor dem 1. Januar 2016 liegen; in diesen Zeiträumen bereits erfolgte Anpassungen oder unterbliebene Anpassungen, gegen die der Versorgungsberechtigte vor dem 1. Januar 2016 Klage erhoben hat, bleiben unberührt.</w:t>
      </w:r>
    </w:p>
    <w:p>
      <w:r>
        <w:t xml:space="preserve">(2) § 16 Abs. 4 gilt nicht für vor dem 1. Januar 1999 zu Recht unterbliebene Anpassungen.</w:t>
      </w:r>
    </w:p>
    <w:p>
      <w:r>
        <w:t xml:space="preserve">(3) § 16 Abs. 5 gilt nur für laufende Leistungen, die auf Zusagen beruhen, die nach dem 31. Dezember 2000 erteilt werden.</w:t>
      </w:r>
    </w:p>
    <w:p>
      <w:r>
        <w:t xml:space="preserve">(4) Für die Erfüllung der Anpassungsprüfungspflicht für Zeiträume vor dem 1. Januar 2003 gilt § 16 Abs. 2 Nr. 1 mit der Maßgabe, dass an die Stelle des Verbraucherpreisindexes für Deutschland der Preisindex für die Lebenshaltung von 4-Personen-Haushalten von Arbeitern und Angestellten mit mittlerem Einkommen tritt.</w:t>
      </w:r>
    </w:p>
    <w:p>
      <w:r>
        <w:rPr>
          <w:color w:val="555555"/>
          <w:sz w:val="17"/>
        </w:rPr>
        <w:t xml:space="preserve">Zitiervorschlag: § 30c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https://recht.nulegal.eu/gesetze/BetrAVG/30c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