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BetrAVG</w:t>
      </w:r>
    </w:p>
    <w:p>
      <w:r>
        <w:rPr>
          <w:color w:val="555555"/>
          <w:sz w:val="18"/>
        </w:rPr>
        <w:t xml:space="preserve">Betriebsrentengesetz</w:t>
      </w:r>
    </w:p>
    <w:p>
      <w:r>
        <w:rPr>
          <w:color w:val="555555"/>
          <w:sz w:val="18"/>
        </w:rPr>
        <w:t xml:space="preserve">Stand: 10.06.2019 (konsolidierte Textfassung, kein amtliches Inkrafttretensdatum)</w:t>
      </w:r>
    </w:p>
    <w:p>
      <w:r>
        <w:t xml:space="preserve">§ 6 gilt für die Fälle, in denen das Altersruhegeld der gesetzlichen Rentenversicherung bereits vor dem Inkrafttreten des Gesetzes in Anspruch genommen worden ist, mit der Maßgabe, daß die Leistungen der betrieblichen Altersversorgung vom Inkrafttreten des Gesetzes an zu gewähren sind.</w:t>
      </w:r>
    </w:p>
    <w:p>
      <w:r>
        <w:rPr>
          <w:color w:val="555555"/>
          <w:sz w:val="17"/>
        </w:rPr>
        <w:t xml:space="preserve">Zitiervorschlag: § 29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