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BetrAVG — Allgemeine Tariföffnungsklausel</w:t>
      </w:r>
    </w:p>
    <w:p>
      <w:r>
        <w:rPr>
          <w:color w:val="555555"/>
          <w:sz w:val="18"/>
        </w:rPr>
        <w:t xml:space="preserve">Betriebsrentengesetz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Von den §§ 1a, 2, 2a Absatz 1, 3 und 4, § 3, mit Ausnahme des § 3 Absatz 2 Satz 3, von den §§ 4, 5, 16, 18a Satz 1, §§ 27 und 28 kann in Tarifverträgen abgewichen werden.</w:t>
      </w:r>
    </w:p>
    <w:p>
      <w:r>
        <w:t xml:space="preserve">(2) Die abweichenden Bestimmungen haben zwischen nichttarifgebundenen Arbeitgebern und Arbeitnehmern Geltung, wenn zwischen diesen die Anwendung der einschlägigen tariflichen Regelung vereinbart ist.</w:t>
      </w:r>
    </w:p>
    <w:p>
      <w:r>
        <w:t xml:space="preserve">(3) Im Übrigen kann von den Bestimmungen dieses Gesetzes nicht zuungunsten des Arbeitnehmers abgewichen werden.</w:t>
      </w:r>
    </w:p>
    <w:p>
      <w:r>
        <w:rPr>
          <w:color w:val="555555"/>
          <w:sz w:val="17"/>
        </w:rPr>
        <w:t xml:space="preserve">Zitiervorschlag: § 19 BetrAVG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https://recht.nulegal.eu/gesetze/BetrAVG/19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