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BetrAVG — Verschwiegenheitspflicht</w:t>
      </w:r>
    </w:p>
    <w:p>
      <w:r>
        <w:rPr>
          <w:color w:val="555555"/>
          <w:sz w:val="18"/>
        </w:rPr>
        <w:t xml:space="preserve">Betriebsrentengesetz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Personen, die bei dem Träger der Insolvenzsicherung beschäftigt oder für ihn tätig sind, dürfen fremde Geheimnisse, insbesondere Betriebs- oder Geschäftsgeheimnisse, nicht unbefugt offenbaren oder verwerten. Sie sind nach dem Gesetz über die förmliche Verpflichtung nichtbeamteter Personen vom 2. März 1974 (Bundesgesetzbl. I S. 469, 547) von der Bundesanstalt für Finanzdienstleistungsaufsicht auf die gewissenhafte Erfüllung ihrer Obliegenheiten zu verpflichten.</w:t>
      </w:r>
    </w:p>
    <w:p>
      <w:r>
        <w:rPr>
          <w:color w:val="555555"/>
          <w:sz w:val="17"/>
        </w:rPr>
        <w:t xml:space="preserve">Zitiervorschlag: § 15 BetrAVG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https://recht.nulegal.eu/gesetze/BetrAVG/15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