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BetrAVG — Träger der Insolvenzsicherung</w:t>
      </w:r>
    </w:p>
    <w:p>
      <w:r>
        <w:rPr>
          <w:color w:val="555555"/>
          <w:sz w:val="18"/>
        </w:rPr>
        <w:t xml:space="preserve">Betriebsrentengesetz</w:t>
      </w:r>
    </w:p>
    <w:p>
      <w:r>
        <w:rPr>
          <w:color w:val="555555"/>
          <w:sz w:val="18"/>
        </w:rPr>
        <w:t xml:space="preserve">Stand: 10.06.2019 (konsolidierte Textfassung, kein amtliches Inkrafttretensdatum)</w:t>
      </w:r>
    </w:p>
    <w:p>
      <w:r>
        <w:t xml:space="preserve">(1) Träger der Insolvenzsicherung ist der Pensions-Sicherungs-Verein Versicherungsverein auf Gegenseitigkeit. Er ist zugleich Träger der Insolvenzsicherung von Versorgungszusagen Luxemburger Unternehmen nach Maßgabe des Abkommens vom 22. September 2000 zwischen der Bundesrepublik Deutschland und dem Großherzogtum Luxemburg über Zusammenarbeit im Bereich der Insolvenzsicherung betrieblicher Altersversorgung.</w:t>
      </w:r>
    </w:p>
    <w:p>
      <w:r>
        <w:t xml:space="preserve">(2) Der Pensions-Sicherungs-Verein Versicherungsverein auf Gegenseitigkeit unterliegt der Aufsicht durch die Bundesanstalt für Finanzdienstleistungsaufsicht. Soweit dieses Gesetz nichts anderes bestimmt, gelten für ihn die Vorschriften für kleine Versicherungsunternehmen nach den §§ 212 bis 216 des Versicherungsaufsichtsgesetzes und die auf Grund des § 217 des Versicherungsaufsichtsgesetzes erlassenen Rechtsverordnungen entsprechend. Die folgenden Vorschriften gelten mit folgenden Maßgaben:</w:t>
      </w:r>
    </w:p>
    <w:p>
      <w:pPr>
        <w:ind w:left="420"/>
      </w:pPr>
      <w:r>
        <w:t xml:space="preserve">1. § 212 Absatz 2 Nummer 1 des Versicherungsaufsichtsgesetzes gilt mit der Maßgabe, dass § 30 des Versicherungsaufsichtsgesetzes Anwendung findet;</w:t>
      </w:r>
    </w:p>
    <w:p>
      <w:pPr>
        <w:ind w:left="420"/>
      </w:pPr>
      <w:r>
        <w:t xml:space="preserve">2. § 212 Absatz 3 Nummer 6 des Versicherungsaufsichtsgesetzes gilt ohne Maßgabe; § 212 Absatz 3 Nummer 7, 10 und 12 des Versicherungsaufsichtsgesetzes gilt mit der Maßgabe, dass die dort genannten Vorschriften auch auf die interne Revision Anwendung finden; § 212 Absatz 3 Nummer 13 des Versicherungsaufsichtsgesetzes gilt mit der Maßgabe, dass die Bundesanstalt für Finanzdienstleistungsaufsicht bei Vorliegen der gesetzlichen Tatbestandsmerkmale die Erlaubnis zum Geschäftsbetrieb widerrufen kann;</w:t>
      </w:r>
    </w:p>
    <w:p>
      <w:pPr>
        <w:ind w:left="420"/>
      </w:pPr>
      <w:r>
        <w:t xml:space="preserve">3. § 214 Absatz 1 des Versicherungsaufsichtsgesetzes gilt mit der Maßgabe, dass grundsätzlich die Hälfte des Ausgleichsfonds den Eigenmitteln zugerechnet werden kann. Auf Antrag des Pensions-Sicherungs-Vereins Versicherungsverein auf Gegenseitigkeit kann die Bundesanstalt für Finanzdienstleistungsaufsicht im Fall einer Inanspruchnahme des Ausgleichsfonds nach § 10 Absatz 2 Satz 5 festsetzen, dass der Ausgleichsfonds vorübergehend zu einem hierüber hinausgehenden Anteil den Eigenmitteln zugerechnet werden kann; § 214 Absatz 6 des Versicherungsaufsichtsgesetzes findet keine Anwendung;</w:t>
      </w:r>
    </w:p>
    <w:p>
      <w:pPr>
        <w:ind w:left="420"/>
      </w:pPr>
      <w:r>
        <w:t xml:space="preserve">4. der Umfang des Sicherungsvermögens muss mindestens der Summe aus den Bilanzwerten der in § 125 Absatz 2 des Versicherungsaufsichtsgesetzes genannten Beträge und dem nicht den Eigenmitteln zuzurechnenden Teil des Ausgleichsfonds entsprechen;</w:t>
      </w:r>
    </w:p>
    <w:p>
      <w:pPr>
        <w:ind w:left="420"/>
      </w:pPr>
      <w:r>
        <w:t xml:space="preserve">5. § 134 Absatz 3 Satz 2 des Versicherungsaufsichtsgesetzes gilt mit der Maßgabe, dass die Aufsichtsbehörde die Frist für Maßnahmen des Pensions-Sicherungs-Vereins Versicherungsverein auf Gegenseitigkeit um einen angemessenen Zeitraum verlängern kann; § 134 Absatz 6 Satz 1 des Versicherungsaufsichtsgesetzes ist entsprechend anzuwenden;</w:t>
      </w:r>
    </w:p>
    <w:p>
      <w:pPr>
        <w:ind w:left="420"/>
      </w:pPr>
      <w:r>
        <w:t xml:space="preserve">6. § 135 Absatz 2 Satz 2 des Versicherungsaufsichtsgesetzes gilt mit der Maßgabe, dass die Aufsichtsbehörde die genannte Frist um einen angemessenen Zeitraum verlängern kann.</w:t>
      </w:r>
    </w:p>
    <w:p>
      <w:r>
        <w:t xml:space="preserve">(3) Der Bundesminister für Arbeit und Sozialordnung weist durch Rechtsverordnung mit Zustimmung des Bundesrates die Stellung des Trägers der Insolvenzsicherung der Kreditanstalt für Wiederaufbau zu, bei der ein Fonds zur Insolvenzsicherung der betrieblichen Altersversorgung gebildet wird, wenn</w:t>
      </w:r>
    </w:p>
    <w:p>
      <w:pPr>
        <w:ind w:left="420"/>
      </w:pPr>
      <w:r>
        <w:t xml:space="preserve">1. bis zum 31. Dezember 1974 nicht nachgewiesen worden ist, daß der in Absatz 1 genannte Träger die Erlaubnis der Aufsichtsbehörde zum Geschäftsbetrieb erhalten hat,</w:t>
      </w:r>
    </w:p>
    <w:p>
      <w:pPr>
        <w:ind w:left="420"/>
      </w:pPr>
      <w:r>
        <w:t xml:space="preserve">2. der in Absatz 1 genannte Träger aufgelöst worden ist oder</w:t>
      </w:r>
    </w:p>
    <w:p>
      <w:pPr>
        <w:ind w:left="420"/>
      </w:pPr>
      <w:r>
        <w:t xml:space="preserve">3. die Aufsichtsbehörde den Geschäftsbetrieb des in Absatz 1 genannten Trägers untersagt oder die Erlaubnis zum Geschäftsbetrieb widerruft.</w:t>
      </w:r>
    </w:p>
    <w:p>
      <w:r>
        <w:t xml:space="preserve">In den Fällen der Nummern 2 und 3 geht das Vermögen des in Absatz 1 genannten Trägers einschließlich der Verbindlichkeiten auf die Kreditanstalt für Wiederaufbau über, die es dem Fonds zur Insolvenzsicherung der betrieblichen Altersversorgung zuweist.</w:t>
      </w:r>
    </w:p>
    <w:p>
      <w:r>
        <w:t xml:space="preserve">(4) Wird die Insolvenzsicherung von der Kreditanstalt für Wiederaufbau durchgeführt, gelten die Vorschriften dieses Abschnittes mit folgenden Abweichungen:</w:t>
      </w:r>
    </w:p>
    <w:p>
      <w:pPr>
        <w:ind w:left="420"/>
      </w:pPr>
      <w:r>
        <w:t xml:space="preserve">1. In § 7 Abs. 6 entfällt die Zustimmung der Bundesanstalt für Finanzdienstleistungsaufsicht.</w:t>
      </w:r>
    </w:p>
    <w:p>
      <w:pPr>
        <w:ind w:left="420"/>
      </w:pPr>
      <w:r>
        <w:t xml:space="preserve">2. § 10 Abs. 2 findet keine Anwendung. Die von der Kreditanstalt für Wiederaufbau zu erhebenden Beiträge müssen den Bedarf für die laufenden Leistungen der Insolvenzsicherung im laufenden Kalenderjahr und die im gleichen Zeitraum entstehenden Verwaltungskosten und sonstigen Kosten, die mit der Gewährung der Leistungen zusammenhängen, decken. Bei einer Zuweisung nach Absatz 2 Nr. 1 beträgt der Beitrag für die ersten 3 Jahre mindestens 0,1 vom Hundert der Beitragsbemessungsgrundlage gemäß § 10 Abs. 3; der nicht benötigte Teil dieses Beitragsaufkommens wird einer Betriebsmittelreserve zugeführt. Bei einer Zuweisung nach Absatz 2 Nr. 2 oder 3 wird in den ersten 3 Jahren zu dem Beitrag nach Nummer 2 Satz 2 ein Zuschlag von 0,08 vom Hundert der Beitragsbemessungsgrundlage gemäß § 10 Abs. 3 zur Bildung einer Betriebsmittelreserve erhoben. Auf die Beiträge können Vorschüsse erhoben werden.</w:t>
      </w:r>
    </w:p>
    <w:p>
      <w:pPr>
        <w:ind w:left="420"/>
      </w:pPr>
      <w:r>
        <w:t xml:space="preserve">3. In § 12 Abs. 3 tritt an die Stelle der Bundesanstalt für Finanzdienstleistungsaufsicht die Kreditanstalt für Wiederaufbau.</w:t>
      </w:r>
    </w:p>
    <w:p>
      <w:r>
        <w:t xml:space="preserve">Die Kreditanstalt für Wiederaufbau verwaltet den Fonds im eigenen Namen. Für Verbindlichkeiten des Fonds haftet sie nur mit dem Vermögen des Fonds. Dieser haftet nicht für die sonstigen Verbindlichkeiten der Bank. § 11 Abs. 1 Satz 1 des Gesetzes über die Kreditanstalt für Wiederaufbau in der Fassung der Bekanntmachung vom 23. Juni 1969 (BGBl. I S. 573), das zuletzt durch Artikel 14 des Gesetzes vom 21. Juni 2002 (BGBl. I S. 2010) geändert worden ist, ist in der jeweils geltenden Fassung auch für den Fonds anzuwenden.</w:t>
      </w:r>
    </w:p>
    <w:p>
      <w:r>
        <w:rPr>
          <w:color w:val="555555"/>
          <w:sz w:val="17"/>
        </w:rPr>
        <w:t xml:space="preserve">Zitiervorschlag: § 14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