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BetonFBAusbV — Bestehende Berufsausbildungsverhältnisse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20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