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BetonFBAusbV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Betonfertigteilherstellung    mit 50 Prozent,</w:t>
      </w:r>
    </w:p>
    <w:p>
      <w:r>
        <w:rPr>
          <w:rFonts w:ascii="Courier New" w:hAnsi="Courier New"/>
          <w:sz w:val="17"/>
        </w:rPr>
        <w:t xml:space="preserve">Betontechnologie undOberflächengestaltung    mit 20 Prozent,</w:t>
      </w:r>
    </w:p>
    <w:p>
      <w:r>
        <w:rPr>
          <w:rFonts w:ascii="Courier New" w:hAnsi="Courier New"/>
          <w:sz w:val="17"/>
        </w:rPr>
        <w:t xml:space="preserve">Betonfertigteile    mit 20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4. (2) Die Abschlussprüfung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„Betontechnologie und Oberflächengestaltung“, „Betonfertigteile“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19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