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BetonFBAusbV — Prüfungsbereich Betontechnologie und Oberflächengestaltung</w:t>
      </w:r>
    </w:p>
    <w:p>
      <w:r>
        <w:rPr>
          <w:color w:val="555555"/>
          <w:sz w:val="18"/>
        </w:rPr>
        <w:t xml:space="preserve">Betonfertigteilbauerausbildungsverordnung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Betontechnologie und Oberflächengestaltung soll der Prüfling nachweisen, dass er in der Lage ist,</w:t>
      </w:r>
    </w:p>
    <w:p>
      <w:pPr>
        <w:ind w:left="420"/>
      </w:pPr>
      <w:r>
        <w:t xml:space="preserve">1. Mengen- und Mischungsberechnungen durchzuführen,</w:t>
      </w:r>
    </w:p>
    <w:p>
      <w:pPr>
        <w:ind w:left="420"/>
      </w:pPr>
      <w:r>
        <w:t xml:space="preserve">2. Gesteinskörnungen, Zementarten, Zusatzmittel und Zusatzstoffe zu erläutern,</w:t>
      </w:r>
    </w:p>
    <w:p>
      <w:pPr>
        <w:ind w:left="420"/>
      </w:pPr>
      <w:r>
        <w:t xml:space="preserve">3. Betone mit besonderen Eigenschaften und Sonderbetone zu erläutern,</w:t>
      </w:r>
    </w:p>
    <w:p>
      <w:pPr>
        <w:ind w:left="420"/>
      </w:pPr>
      <w:r>
        <w:t xml:space="preserve">4. Betonprüfungen zu beschreiben und</w:t>
      </w:r>
    </w:p>
    <w:p>
      <w:pPr>
        <w:ind w:left="420"/>
      </w:pPr>
      <w:r>
        <w:t xml:space="preserve">5. Oberflächenbearbeitung und -gestaltung zu beschreiben.</w:t>
      </w:r>
    </w:p>
    <w:p>
      <w:r>
        <w:t xml:space="preserve">(2) Der Prüfling soll Aufgaben schriftlich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16 BetonFBAusbV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https://recht.nulegal.eu/gesetze/BetonFBAusbV/16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