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BetonFBAusbV — Prüfungsbereich Betonfertigteilherstellung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Betonfertigteilherstellung soll der Prüfling nachweisen, dass er in der Lage ist,</w:t>
      </w:r>
    </w:p>
    <w:p>
      <w:pPr>
        <w:ind w:left="420"/>
      </w:pPr>
      <w:r>
        <w:t xml:space="preserve">1. technische Unterlagen anzuwenden,</w:t>
      </w:r>
    </w:p>
    <w:p>
      <w:pPr>
        <w:ind w:left="420"/>
      </w:pPr>
      <w:r>
        <w:t xml:space="preserve">2. Arbeitsabläufe zu planen,</w:t>
      </w:r>
    </w:p>
    <w:p>
      <w:pPr>
        <w:ind w:left="420"/>
      </w:pPr>
      <w:r>
        <w:t xml:space="preserve">3. Werkzeuge und Geräte einzusetzen,</w:t>
      </w:r>
    </w:p>
    <w:p>
      <w:pPr>
        <w:ind w:left="420"/>
      </w:pPr>
      <w:r>
        <w:t xml:space="preserve">4. Schalungsmaterialien auszuwählen und Schalungen herzustellen,</w:t>
      </w:r>
    </w:p>
    <w:p>
      <w:pPr>
        <w:ind w:left="420"/>
      </w:pPr>
      <w:r>
        <w:t xml:space="preserve">5. Bewehrungen herzustellen und einzubauen,</w:t>
      </w:r>
    </w:p>
    <w:p>
      <w:pPr>
        <w:ind w:left="420"/>
      </w:pPr>
      <w:r>
        <w:t xml:space="preserve">6. Einbauteile einzubauen,</w:t>
      </w:r>
    </w:p>
    <w:p>
      <w:pPr>
        <w:ind w:left="420"/>
      </w:pPr>
      <w:r>
        <w:t xml:space="preserve">7. Betone einzubringen und zu verdichten,</w:t>
      </w:r>
    </w:p>
    <w:p>
      <w:pPr>
        <w:ind w:left="420"/>
      </w:pPr>
      <w:r>
        <w:t xml:space="preserve">8. Oberflächen zu bearbeiten,</w:t>
      </w:r>
    </w:p>
    <w:p>
      <w:pPr>
        <w:ind w:left="420"/>
      </w:pPr>
      <w:r>
        <w:t xml:space="preserve">9. Betonfertigteile zu entschalen,</w:t>
      </w:r>
    </w:p>
    <w:p>
      <w:pPr>
        <w:ind w:left="420"/>
      </w:pPr>
      <w:r>
        <w:t xml:space="preserve">10. Betonfertigteile nachzubehandeln,</w:t>
      </w:r>
    </w:p>
    <w:p>
      <w:pPr>
        <w:ind w:left="420"/>
      </w:pPr>
      <w:r>
        <w:t xml:space="preserve">11. Maßnahmen zur Sicherheit und zum Gesundheitsschutz bei der Arbeit, zum Umweltschutz und zur Qualitätssicherung zu ergreifen und</w:t>
      </w:r>
    </w:p>
    <w:p>
      <w:pPr>
        <w:ind w:left="420"/>
      </w:pPr>
      <w:r>
        <w:t xml:space="preserve">12. fachliche Hintergründe aufzuzeigen sowie die Vorgehensweise bei der Durchführung der Arbeitsaufgabe zu begründen.</w:t>
      </w:r>
    </w:p>
    <w:p>
      <w:r>
        <w:t xml:space="preserve">(2) Der Prüfling soll eine Arbeitsaufgabe durchführen. Während der Durchführung wird mit ihm ein situatives Fachgespräch über die Arbeitsaufgabe geführt.</w:t>
      </w:r>
    </w:p>
    <w:p>
      <w:r>
        <w:t xml:space="preserve">(3) Die Prüfungszeit beträgt insgesamt acht Stunden. Das situative Fachgespräch dauert höchstens 20 Minuten.</w:t>
      </w:r>
    </w:p>
    <w:p>
      <w:r>
        <w:rPr>
          <w:color w:val="555555"/>
          <w:sz w:val="17"/>
        </w:rPr>
        <w:t xml:space="preserve">Zitiervorschlag: § 15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