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BetonFBAusbV — Prüfungsbereiche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Betonfertigteilherstellung,</w:t>
      </w:r>
    </w:p>
    <w:p>
      <w:pPr>
        <w:ind w:left="420"/>
      </w:pPr>
      <w:r>
        <w:t xml:space="preserve">2. Betontechnologie und Oberflächengestaltung,</w:t>
      </w:r>
    </w:p>
    <w:p>
      <w:pPr>
        <w:ind w:left="420"/>
      </w:pPr>
      <w:r>
        <w:t xml:space="preserve">3. Betonfertigteile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14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