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BetTerMstrV — Weitere Regelungen zur Meisterprüfung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13.03.2020 bis 01.03.2021. Dies ist nicht die aktuelle Fassung.</w:t>
      </w:r>
    </w:p>
    <w:p>
      <w:r>
        <w:t xml:space="preserve">(1) Die Prüfung in den Teilen III und IV der Meisterprüfung bestimmt sich nach der Allgemeinen Meisterprüfungsverordnung vom 26. Oktober 2011 (BGBl. I S. 2149) in der jeweils geltenden Fassung.</w:t>
      </w:r>
    </w:p>
    <w:p>
      <w:r>
        <w:t xml:space="preserve">(2) Die Vorschriften der Meisterprüfungsverfahrensverordnung vom 17. Dezember 2001 (BGBl. I S. 4154) in der jeweils geltenden Fassung bleiben unberührt.</w:t>
      </w:r>
    </w:p>
    <w:p>
      <w:r>
        <w:rPr>
          <w:color w:val="555555"/>
          <w:sz w:val="17"/>
        </w:rPr>
        <w:t xml:space="preserve">Zitiervorschlag: § 7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