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BetTerMstrV — Gliederung, Dauer und Bestehen der praktischen Prüfung (Teil I)</w:t>
      </w:r>
    </w:p>
    <w:p>
      <w:r>
        <w:rPr>
          <w:color w:val="555555"/>
          <w:sz w:val="18"/>
        </w:rPr>
        <w:t xml:space="preserve">Betonstein- und Terrazzoherstellermeisterverordnung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fünf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BetTerMstrV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