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BetTerHMstrV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Auf Grund des § 45 Absatz 1 der Handwerksordnung in der Fassung der Bekanntmachung vom 24. September 1998 (BGBI.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