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BetTerHMstrV — Gewichtung, Bestehen der Prüfung in Teil I</w:t>
      </w:r>
    </w:p>
    <w:p>
      <w:r>
        <w:rPr>
          <w:color w:val="555555"/>
          <w:sz w:val="18"/>
        </w:rPr>
        <w:t xml:space="preserve">Werkstein- und Terrazzoherstellermeisterverordnung</w:t>
      </w:r>
    </w:p>
    <w:p>
      <w:r>
        <w:rPr>
          <w:color w:val="555555"/>
          <w:sz w:val="18"/>
        </w:rPr>
        <w:t xml:space="preserve">Stand: 01.03.2021 (konsolidierte Textfassung, kein amtliches Inkrafttretensdatum)</w:t>
      </w:r>
    </w:p>
    <w:p>
      <w:r>
        <w:t xml:space="preserve">(1) Das Meisterprüfungsprojekt und das Fachgespräch werden gesondert bewertet. Für das Gesamtergebnis der Prüfung in Teil I der Meisterprüfung ist die Bewertung des Meisterprüfungsprojekts und die Bewertung des Fachgesprächs im Verhältnis 3:1 zu gewichten.</w:t>
      </w:r>
    </w:p>
    <w:p>
      <w:r>
        <w:t xml:space="preserve">(2) Der Prüfling hat den Teil I der Meisterprüfung bestanden, wenn</w:t>
      </w:r>
    </w:p>
    <w:p>
      <w:pPr>
        <w:ind w:left="420"/>
      </w:pPr>
      <w:r>
        <w:t xml:space="preserve">1. das Meisterprüfungsprojekt und das Fachgespräch jeweils mit mindestens 30 Punkten bewertet worden ist und</w:t>
      </w:r>
    </w:p>
    <w:p>
      <w:pPr>
        <w:ind w:left="420"/>
      </w:pPr>
      <w:r>
        <w:t xml:space="preserve">2. das Gesamtergebnis der Prüfung mindestens „ausreichend“ ist.</w:t>
      </w:r>
    </w:p>
    <w:p>
      <w:r>
        <w:rPr>
          <w:color w:val="555555"/>
          <w:sz w:val="17"/>
        </w:rPr>
        <w:t xml:space="preserve">Zitiervorschlag: § 6 BetTerHMstrV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https://recht.nulegal.eu/gesetze/BetTerHMstrV/6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