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BetTerHMstrV — Ziel und Gliederung der Prüfung in Teil I</w:t>
      </w:r>
    </w:p>
    <w:p>
      <w:r>
        <w:rPr>
          <w:color w:val="555555"/>
          <w:sz w:val="18"/>
        </w:rPr>
        <w:t xml:space="preserve">Werkstein- und Terrazzoherstellermeisterverordnung</w:t>
      </w:r>
    </w:p>
    <w:p>
      <w:r>
        <w:rPr>
          <w:color w:val="555555"/>
          <w:sz w:val="18"/>
        </w:rPr>
        <w:t xml:space="preserve">Stand: 02.12.2021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dabei Tätigkeiten des Werkstein- und Terrazzohersteller-Handwerks meisterhaft verrichtet.</w:t>
      </w:r>
    </w:p>
    <w:p>
      <w:r>
        <w:t xml:space="preserve">(2) Die Prüfung in Teil I gliedert sich in ein Meisterprüfungsprojekt nach § 4 und ein darauf bezogenes Fachgespräch nach § 5. Das Meisterprüfungsprojekt und das Fachgespräch bilden einen Prüfungsbereich.</w:t>
      </w:r>
    </w:p>
    <w:p>
      <w:r>
        <w:rPr>
          <w:color w:val="555555"/>
          <w:sz w:val="17"/>
        </w:rPr>
        <w:t xml:space="preserve">Zitiervorschlag: § 3 BetTerHMstrV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https://recht.nulegal.eu/gesetze/BetTerHMstrV/3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