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BetTerHMstrV — Inkrafttreten, Außerkrafttreten</w:t>
      </w:r>
    </w:p>
    <w:p>
      <w:r>
        <w:rPr>
          <w:color w:val="555555"/>
          <w:sz w:val="18"/>
        </w:rPr>
        <w:t xml:space="preserve">Werkstein- und Terrazzoherstellermeisterverordnung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Diese Verordnung tritt am 1. März 2021 in Kraft. Gleichzeitig tritt die Betonstein- und Terrazzoherstellermeisterverordnung vom 21. Januar 1993 (BGBl. I S. 87), die durch Artikel 2 der Verordnung vom 28. Februar 2020 (BGBl. I S. 246) geändert worden ist, außer Kraft.</w:t>
      </w:r>
    </w:p>
    <w:p>
      <w:r>
        <w:rPr>
          <w:color w:val="555555"/>
          <w:sz w:val="17"/>
        </w:rPr>
        <w:t xml:space="preserve">Zitiervorschlag: § 14 BetTerHMstrV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https://recht.nulegal.eu/gesetze/BetTerHMstrV/14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