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BestVerfVO (Nordrhein-Westfalen) — Ausübung der Bestimmungsrechte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Bestimmungsrechte werden in einem Bestimmungsverfahren ausgeübt, das sich in ein geheimes Abstimmungsverfahren und in ein Anmeldeverfahren gliedert.</w:t>
      </w:r>
    </w:p>
    <w:p>
      <w:r>
        <w:t xml:space="preserve">Teil 2 Verfahren zur Errichtung oder</w:t>
      </w:r>
    </w:p>
    <w:p>
      <w:r>
        <w:t xml:space="preserve">Umwandlung von Schulen</w:t>
      </w:r>
    </w:p>
    <w:p>
      <w:r>
        <w:rPr>
          <w:color w:val="555555"/>
          <w:sz w:val="17"/>
        </w:rPr>
        <w:t xml:space="preserve">Zitiervorschlag: § 4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