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BestVerfVO (Nordrhein-Westfalen) — Ausübung der Antragsrechte</w:t>
      </w:r>
    </w:p>
    <w:p>
      <w:r>
        <w:rPr>
          <w:color w:val="555555"/>
          <w:sz w:val="18"/>
        </w:rPr>
        <w:t xml:space="preserve">Bestimmungsverfahrensverordnung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Antragsrechte werden bei der Errichtung von Schulen in einem Antragsverfahren ausgeübt, das sich in ein Einleitungsverfahren, ein geheimes Abstimmungsverfahren und in ein Anmeldeverfahren gliedert.</w:t>
      </w:r>
    </w:p>
    <w:p>
      <w:r>
        <w:t xml:space="preserve">(2) Die Antragsrechte werden bei der Umwandlung von Schulen in einem Antragsverfahren ausgeübt, das sich in ein Einleitungsverfahren und in ein geheimes Abstimmungsverfahren gliedert.</w:t>
      </w:r>
    </w:p>
    <w:p>
      <w:r>
        <w:rPr>
          <w:color w:val="555555"/>
          <w:sz w:val="17"/>
        </w:rPr>
        <w:t xml:space="preserve">Zitiervorschlag: § 3 BestVerfVO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https://recht.nulegal.eu/gesetze/BestVerfVO/3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