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BestVerfVO (Nordrhein-Westfalen) — Zuständigkeit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aus dieser Verordnung nichts anderes ergibt, ist zuständig</w:t>
      </w:r>
    </w:p>
    <w:p>
      <w:r>
        <w:t xml:space="preserve">1. für die Durchführung des Antragsverfahrens zur Errichtung einer Schule die Gemeinde, in der die Antragsberechtigten ihren gewöhnlichen Aufenthalt haben,</w:t>
      </w:r>
    </w:p>
    <w:p>
      <w:r>
        <w:t xml:space="preserve">2. für die Durchführung des Verfahrens zur Umwandlung einer Schule und für die Durchführung des Bestimmungsverfahrens bei der Errichtung einer Grundschule von Amts wegen der Schulträger.</w:t>
      </w:r>
    </w:p>
    <w:p>
      <w:r>
        <w:rPr>
          <w:color w:val="555555"/>
          <w:sz w:val="17"/>
        </w:rPr>
        <w:t xml:space="preserve">Zitiervorschlag: § 16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