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BestVerfVO (Nordrhein-Westfalen) — Abstimmungsverfahren</w:t>
      </w:r>
    </w:p>
    <w:p>
      <w:r>
        <w:rPr>
          <w:color w:val="555555"/>
          <w:sz w:val="18"/>
        </w:rPr>
        <w:t xml:space="preserve">Bestimmungsverfahrensverordnung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Hat der Schulträger die Errichtung einer Grundschule beschlossen, so ist in ortsüblicher Weise bekanntzumachen, daß die Abstimmungsberechtigten über die Schulart abstimmen können. Im übrigen gelten § 8 Abs. 2 Satz 2 bis 5, Abs. 4 und Abs. 5 entsprechend.</w:t>
      </w:r>
    </w:p>
    <w:p>
      <w:r>
        <w:t xml:space="preserve">(2) Abstimmungsberechtigte sind die in § 11 genannten Bestimmungsberechtigten.</w:t>
      </w:r>
    </w:p>
    <w:p>
      <w:r>
        <w:rPr>
          <w:color w:val="555555"/>
          <w:sz w:val="17"/>
        </w:rPr>
        <w:t xml:space="preserve">Zitiervorschlag: § 12 BestVerfVO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https://recht.nulegal.eu/gesetze/BestVerfVO/12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