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BestV (Bayern) — Zulässigkeit der Leichenüberführung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Überführung einer Leiche ist nur zulässig, wenn</w:t>
      </w:r>
    </w:p>
    <w:p>
      <w:r>
        <w:t xml:space="preserve">1. der Arzt die Todesbescheinigung ausgestellt hat,</w:t>
      </w:r>
    </w:p>
    <w:p>
      <w:r>
        <w:t xml:space="preserve">2. keine gesundheitlichen Gefahren zu befürchten sind und</w:t>
      </w:r>
    </w:p>
    <w:p>
      <w:r>
        <w:t xml:space="preserve">3. Gründe der Strafrechtspflege nicht entgegenstehen.</w:t>
      </w:r>
    </w:p>
    <w:p>
      <w:r>
        <w:t xml:space="preserve">Überführungen ins Ausland sind nur zulässig, wenn außerdem der Standesbeamte auf der Todesbescheinigung und dem nicht vertraulichen Teil die Beurkundung des Sterbefalls oder die Zurückstellung der Beurkundung nach § 7 Abs. 1 Satz 1 PStV vermerkt hat.</w:t>
      </w:r>
    </w:p>
    <w:p>
      <w:r>
        <w:rPr>
          <w:color w:val="555555"/>
          <w:sz w:val="17"/>
        </w:rPr>
        <w:t xml:space="preserve">Zitiervorschlag: § 8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