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BestV (Bayern) — Särge, Sargausstattungen, Bekleidung von Leichen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Erdbestattungen und für Einäscherungen sind Särge aus Vollholz zu verwenden. Für Erdbestattungen ist die Verwendung anderer Materialien zulässig, wenn die Särge so beschaffen sind, dass</w:t>
      </w:r>
    </w:p>
    <w:p>
      <w:r>
        <w:t xml:space="preserve">1. bis zur Bestattung Flüssigkeit nicht austreten kann,</w:t>
      </w:r>
    </w:p>
    <w:p>
      <w:r>
        <w:t xml:space="preserve">2. die physikalische, chemische oder biologische Beschaffenheit des Bodens oder des Grundwassers nicht nachteilig verändert wird,</w:t>
      </w:r>
    </w:p>
    <w:p>
      <w:r>
        <w:t xml:space="preserve">3. die Verwesung der Leiche innerhalb der Ruhezeit ermöglicht wird,</w:t>
      </w:r>
    </w:p>
    <w:p>
      <w:r>
        <w:t xml:space="preserve">4. keine Zersetzungsstoffe austreten können, wenn die Särge zur Bestattung in Grüften dienen,</w:t>
      </w:r>
    </w:p>
    <w:p>
      <w:r>
        <w:t xml:space="preserve">5. bei der Verbrennung keine unangemessenen Emissionen entstehen.</w:t>
      </w:r>
    </w:p>
    <w:p>
      <w:r>
        <w:t xml:space="preserve">Für Einäscherungen ist die Verwendung anderer Materialien als Vollholz zulässig, wenn die Särge den Anforderungen des Satzes 2 Nr. 1 und 5 entsprechen.</w:t>
      </w:r>
    </w:p>
    <w:p>
      <w:r>
        <w:t xml:space="preserve">(2) Der Friedhofsträger kann Erdbestattungen in einem Leichentuch ohne Sarg aus religiösen und weltanschaulichen Gründen zulassen, soweit öffentliche Belange nicht entgegenstehen. Eine Erdbestattung nach Satz 1 ist bei infektiösen und hochkontagiösen Leichen gemäß § 7 untersagt. Für die verwendete Umhüllung der Leiche gilt Abs. 1 Satz 2 Nr. 2 und 3 entsprechend.</w:t>
      </w:r>
    </w:p>
    <w:p>
      <w:r>
        <w:t xml:space="preserve">(3) Urnen müssen so beschaffen sein, dass die physikalische, chemische oder biologische Beschaffenheit des Bodens oder des Grundwassers nicht nachteilig verändert wird.</w:t>
      </w:r>
    </w:p>
    <w:p>
      <w:r>
        <w:t xml:space="preserve">(4) Särge und Urnen dürfen zur Bestattung oder Einäscherung nur angenommen werden, wenn der Hersteller durch Sachverständigengutachten nachweist, dass sie den vorstehenden Anforderungen entsprechen.</w:t>
      </w:r>
    </w:p>
    <w:p>
      <w:r>
        <w:t xml:space="preserve">(5) Für Sargausstattungen und zur Bekleidung der Leichen ist leicht vergängliches Material zu verwenden. Abs. 1 Satz 2 Nr. 2, 3, 5 und Abs. 4 gelten entsprechend.</w:t>
      </w:r>
    </w:p>
    <w:p>
      <w:r>
        <w:rPr>
          <w:color w:val="555555"/>
          <w:sz w:val="17"/>
        </w:rPr>
        <w:t xml:space="preserve">Zitiervorschlag: § 30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