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BestV (Bayern) — Betriebsleiter, Betriebsordnung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Träger der Feuerbestattungsanlage hat einen für den Betrieb verantwortlichen Leiter zu bestellen.</w:t>
      </w:r>
    </w:p>
    <w:p>
      <w:r>
        <w:t xml:space="preserve">(2) Der Träger der Feuerbestattungsanlage hat den Betrieb durch eine Betriebsordnung zu regeln, die Bestimmungen enthält über</w:t>
      </w:r>
    </w:p>
    <w:p>
      <w:r>
        <w:t xml:space="preserve">1. die mit dem Betrieb der Anlage zusammenhängenden Aufgaben und ihre Verteilung,</w:t>
      </w:r>
    </w:p>
    <w:p>
      <w:r>
        <w:t xml:space="preserve">2. das Verfahren bei der Einlieferung der Leichen,</w:t>
      </w:r>
    </w:p>
    <w:p>
      <w:r>
        <w:t xml:space="preserve">3. die Verwahrung der Leichen,</w:t>
      </w:r>
    </w:p>
    <w:p>
      <w:r>
        <w:t xml:space="preserve">4. das Verfahren bei der Einäscherung, insbesondere die Feststellung der Identität der Leichen,</w:t>
      </w:r>
    </w:p>
    <w:p>
      <w:r>
        <w:t xml:space="preserve">5. die Behandlung der Asche und</w:t>
      </w:r>
    </w:p>
    <w:p>
      <w:r>
        <w:t xml:space="preserve">6. die Kennzeichnung, Aufbewahrung, Herausgabe und den Versand der Urnen.</w:t>
      </w:r>
    </w:p>
    <w:p>
      <w:r>
        <w:rPr>
          <w:color w:val="555555"/>
          <w:sz w:val="17"/>
        </w:rPr>
        <w:t xml:space="preserve">Zitiervorschlag: § 25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