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BestV (Bayern) — Veränderungsverbot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 der Leichenschau darf eine Leiche nicht</w:t>
      </w:r>
    </w:p>
    <w:p>
      <w:r>
        <w:t xml:space="preserve">1. eingesargt oder</w:t>
      </w:r>
    </w:p>
    <w:p>
      <w:r>
        <w:t xml:space="preserve">2. in Räume gebracht werden, die zur Aufbewahrung von Leichen bestimmt sind.</w:t>
      </w:r>
    </w:p>
    <w:p>
      <w:r>
        <w:t xml:space="preserve">(2) Abs. 1 Nr. 2 gilt nicht, wenn der Tod in einem Krankenhaus, Pflegeheim, Altenheim oder Altenwohnheim eingetreten ist und die Leiche bis zur Leichenschau dort verbleibt.</w:t>
      </w:r>
    </w:p>
    <w:p>
      <w:r>
        <w:rPr>
          <w:color w:val="555555"/>
          <w:sz w:val="17"/>
        </w:rPr>
        <w:t xml:space="preserve">Zitiervorschlag: § 2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