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BestV (Bayern) — Frühester Bestattungszeitpunkt</w:t>
      </w:r>
    </w:p>
    <w:p>
      <w:r>
        <w:rPr>
          <w:color w:val="555555"/>
          <w:sz w:val="18"/>
        </w:rPr>
        <w:t xml:space="preserve">Bestattungsverordnung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Bestattung ist frühestens 48 Stunden nach Eintritt des Todes zulässig.</w:t>
      </w:r>
    </w:p>
    <w:p>
      <w:r>
        <w:t xml:space="preserve">(2) Die Gemeinde kann auf Antrag eine frühere Bestattung zulassen, wenn</w:t>
      </w:r>
    </w:p>
    <w:p>
      <w:r>
        <w:t xml:space="preserve">1. ein berechtigtes Interesse des Antragstellers oder seiner Angehörigen daran besteht oder</w:t>
      </w:r>
    </w:p>
    <w:p>
      <w:r>
        <w:t xml:space="preserve">2. der Einhaltung der Frist nach Abs. 1 wegen besonderer örtlicher Verhältnisse erhebliche Hindernisse entgegenstehen oder</w:t>
      </w:r>
    </w:p>
    <w:p>
      <w:r>
        <w:t xml:space="preserve">3. gesundheitliche Gefahren zu befürchten sind.</w:t>
      </w:r>
    </w:p>
    <w:p>
      <w:r>
        <w:t xml:space="preserve">(3) Unter den Voraussetzungen des Abs. 2 Nr. 2 und 3 kann die Gemeinde auch eine frühere Bestattung anordnen.</w:t>
      </w:r>
    </w:p>
    <w:p>
      <w:r>
        <w:rPr>
          <w:color w:val="555555"/>
          <w:sz w:val="17"/>
        </w:rPr>
        <w:t xml:space="preserve">Zitiervorschlag: § 18 BestV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https://recht.nulegal.eu/gesetze/BestV/18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