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BestV (Bayern) — Voraussetzungen für die Erdbestattung</w:t>
      </w:r>
    </w:p>
    <w:p>
      <w:r>
        <w:rPr>
          <w:color w:val="555555"/>
          <w:sz w:val="18"/>
        </w:rPr>
        <w:t xml:space="preserve">Bestattungsverordnung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Eine Leiche darf erst dann zur Erde bestattet werden, wenn</w:t>
      </w:r>
    </w:p>
    <w:p>
      <w:r>
        <w:t xml:space="preserve">1. der Arzt die Todesbescheinigung ausgestellt hat und</w:t>
      </w:r>
    </w:p>
    <w:p>
      <w:r>
        <w:t xml:space="preserve">2. das Standesamt auf der Todesbescheinigung und dem nicht vertraulichen Teil die Beurkundung des Sterbefalls oder die Zurückstellung der Beurkundung nach § 7 Abs. 1 Satz 1 PStV vermerkt hat.</w:t>
      </w:r>
    </w:p>
    <w:p>
      <w:r>
        <w:t xml:space="preserve">(2) Ist eine Leiche von auswärts an den Bestattungsort überführt worden, so darf sie ohne die Nachweise nach Abs. 1 bestattet werden, wenn ein Leichenpass oder eine Bescheinigung eines anderen Landes der Bundesrepublik Deutschland, aus der sich die Zulässigkeit der Bestattung ergibt, vorgewiesen wird. Liegen die Unterlagen nach Satz 1 nicht vor, so darf die Leiche nur mit Erlaubnis der Gemeinde des Bestattungsorts bestattet werden.</w:t>
      </w:r>
    </w:p>
    <w:p>
      <w:r>
        <w:t xml:space="preserve">(3) Sind Anhaltspunkte für einen nicht natürlichen Tod vorhanden, ist die Todesart ungeklärt (§ 3 Abs. 2) oder wird die Leiche eines Unbekannten aufgefunden, so ist zur Bestattung außerdem die schriftliche Genehmigung der Staatsanwaltschaft oder des Richters beim Amtsgericht erforderlich.</w:t>
      </w:r>
    </w:p>
    <w:p>
      <w:r>
        <w:rPr>
          <w:color w:val="555555"/>
          <w:sz w:val="17"/>
        </w:rPr>
        <w:t xml:space="preserve">Zitiervorschlag: § 16 BestV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https://recht.nulegal.eu/gesetze/BestV/16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