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BestV (Bayern) — Bestattungspflichtige</w:t>
      </w:r>
    </w:p>
    <w:p>
      <w:r>
        <w:rPr>
          <w:color w:val="555555"/>
          <w:sz w:val="18"/>
        </w:rPr>
        <w:t xml:space="preserve">Bestattungsverordnung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Für die Bestattung und die ihr vorausgehenden notwendigen Verrichtungen haben die in § 1 Abs. 1 Satz 2 Nr. 1 genannten Angehörigen unbeschadet ihrer Geschäftsfähigkeit zu sorgen. Bestimmt die Gemeinde nach Art. 14 Abs. 1 Satz 2 BestG die nach Satz 1 verpflichteten Angehörigen, so soll sie dabei den Grad der Verwandtschaft oder Schwägerschaft berücksichtigen.</w:t>
      </w:r>
    </w:p>
    <w:p>
      <w:r>
        <w:rPr>
          <w:color w:val="555555"/>
          <w:sz w:val="17"/>
        </w:rPr>
        <w:t xml:space="preserve">Zitiervorschlag: § 15 BestV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https://recht.nulegal.eu/gesetze/BestV/15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