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BestV (Bayern) — Sondervorschriften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Vorschriften dieses Abschnitts gelten nicht für die Überführung im Rahmen strafprozessualer Ermittlungen, die Bergung von Leichen sowie die Beförderung tödlich Verunglückter von der Unfallstelle.</w:t>
      </w:r>
    </w:p>
    <w:p>
      <w:r>
        <w:t xml:space="preserve">(2) Für die Überführung von Leichen zum Bestattungsplatz am Sterbeort oder an einen anderen Ort, der mit dem Sterbeort eine Verwaltungsgemeinschaft bildet finden von den Vorschriften dieses Abschnitts lediglich § 8, § 11 Nr. 1 und 3 sowie § 13 Abs. 3 Anwendung. Fahrzeuge, die der Beförderung von Personen, Tieren oder Lebensmitteln dienen, dürfen nicht benutzt werden.</w:t>
      </w:r>
    </w:p>
    <w:p>
      <w:r>
        <w:t xml:space="preserve">(3) Unberührt bleiben</w:t>
      </w:r>
    </w:p>
    <w:p>
      <w:r>
        <w:t xml:space="preserve">1. internationale Verträge über den Leichentransport,</w:t>
      </w:r>
    </w:p>
    <w:p>
      <w:r>
        <w:t xml:space="preserve">2. zwischenstaatliche Vereinbarungen,</w:t>
      </w:r>
    </w:p>
    <w:p>
      <w:r>
        <w:t xml:space="preserve">3. das Beförderungsrecht der Deutschen Bahn AG,</w:t>
      </w:r>
    </w:p>
    <w:p>
      <w:r>
        <w:t xml:space="preserve">4. Sonderregelungen für den Rettungsdienst, den Verteidigungs- und Katastrophenfall.</w:t>
      </w:r>
    </w:p>
    <w:p>
      <w:r>
        <w:rPr>
          <w:color w:val="555555"/>
          <w:sz w:val="17"/>
        </w:rPr>
        <w:t xml:space="preserve">Zitiervorschlag: § 14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