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BestV (Bayern) — Veranlassung der Leichenschau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Leichenschau (Art. 2 des Bestattungsgesetzes – BestG) ist unverzüglich zu veranlassen, zur Nachtzeit jedoch nur, wenn Anhaltspunkte für einen nicht natürlichen Tod vorliegen. Hierzu sind, wenn sie geschäftsfähig sind, verpflichtet:</w:t>
      </w:r>
    </w:p>
    <w:p>
      <w:r>
        <w:t xml:space="preserve">1. a) der Ehegatte oder der Lebenspartner,</w:t>
      </w:r>
    </w:p>
    <w:p>
      <w:r>
        <w:t xml:space="preserve">b) die Kinder,</w:t>
      </w:r>
    </w:p>
    <w:p>
      <w:r>
        <w:t xml:space="preserve">c) die Eltern; bei Annahme Volljähriger (§ 1767 des Bürgerlichen Gesetzbuches) der Annehmende vor den Eltern,</w:t>
      </w:r>
    </w:p>
    <w:p>
      <w:r>
        <w:t xml:space="preserve">d) die Großeltern,</w:t>
      </w:r>
    </w:p>
    <w:p>
      <w:r>
        <w:t xml:space="preserve">e) die Enkelkinder,</w:t>
      </w:r>
    </w:p>
    <w:p>
      <w:r>
        <w:t xml:space="preserve">f) die Geschwister und</w:t>
      </w:r>
    </w:p>
    <w:p>
      <w:r>
        <w:t xml:space="preserve">g) die Kinder der Geschwister des Verstorbenen,</w:t>
      </w:r>
    </w:p>
    <w:p>
      <w:r>
        <w:t xml:space="preserve">2. die Personensorgeberechtigten,</w:t>
      </w:r>
    </w:p>
    <w:p>
      <w:r>
        <w:t xml:space="preserve">3. der Betreuer, soweit die Sorge für die Person des Verstorbenen zu dessen Lebzeiten zu seinem Aufgabenkreis gehört hat,</w:t>
      </w:r>
    </w:p>
    <w:p>
      <w:r>
        <w:t xml:space="preserve">4. a) auf Schiffen der Schiffsführer,</w:t>
      </w:r>
    </w:p>
    <w:p>
      <w:r>
        <w:t xml:space="preserve">b) in Krankenhäusern der leitende Arzt; bestehen mehrere selbständige Abteilungen, dann der leitende Abteilungsarzt,</w:t>
      </w:r>
    </w:p>
    <w:p>
      <w:r>
        <w:t xml:space="preserve">c) in Heimen, insbesondere Pflegeheimen, Altenheimen und Altenwohnheimen, Säuglings-, Kinder- und Jugendheimen, in Therapieeinrichtungen und in Gemeinschaftsunterkünften, ferner in Justizvollzugsanstalten, sowie in ähnlichen Einrichtungen deren Leiter,</w:t>
      </w:r>
    </w:p>
    <w:p>
      <w:r>
        <w:t xml:space="preserve">wenn sich die Leiche dort befindet.</w:t>
      </w:r>
    </w:p>
    <w:p>
      <w:r>
        <w:t xml:space="preserve">(2) Bestimmt die Gemeinde nach Art. 14 Abs. 1 Satz 2 BestG die nach Abs. 1 Satz 2 Nr. 1 verpflichteten Angehörigen, so soll sie dabei den Grad der Verwandtschaft oder Schwägerschaft berücksichtigen.</w:t>
      </w:r>
    </w:p>
    <w:p>
      <w:r>
        <w:rPr>
          <w:color w:val="555555"/>
          <w:sz w:val="17"/>
        </w:rPr>
        <w:t xml:space="preserve">Zitiervorschlag: § 1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