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BestMstrV</w:t>
      </w:r>
    </w:p>
    <w:p>
      <w:r>
        <w:rPr>
          <w:color w:val="555555"/>
          <w:sz w:val="18"/>
        </w:rPr>
        <w:t xml:space="preserve">Bestattermeisterverordnung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51a Absatz 2 in Verbindung mit Absatz 1 der Handwerksordnung in der Fassung der Bekanntmachung vom 24. September 1998 (BGBl. I S. 3074; 2006 I S. 2095), der durch Artikel 146 der Verordnung vom 31. Oktober 2006 (BGBl. I S. 2407)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BestMstrV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https://recht.nulegal.eu/gesetze/BestMstrV/eingangsformel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