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BestMstrV — Prüfungsdauer und Bestehen des Teils I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drei Arbeitstage, das Fachgespräch nicht länger als 30 Minuten und die Ausführung der Situationsaufgabe nicht länger als fünf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