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BestMstrV — Situationsaufgabe</w:t>
      </w:r>
    </w:p>
    <w:p>
      <w:r>
        <w:rPr>
          <w:color w:val="555555"/>
          <w:sz w:val="18"/>
        </w:rPr>
        <w:t xml:space="preserve">Bestattermeisterverordnung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Situationsaufgabe ist auftragsorientiert und vervollständigt den Qualifikationsnachweis für die Meisterprüfung im Bestattungsgewerbe.</w:t>
      </w:r>
    </w:p>
    <w:p>
      <w:r>
        <w:t xml:space="preserve">(2) Als Situationsaufgabe sind technische, organisatorische oder dienstleistungsbezogene Mängel zu identifizieren für eine vorgegebene</w:t>
      </w:r>
    </w:p>
    <w:p>
      <w:pPr>
        <w:ind w:left="420"/>
      </w:pPr>
      <w:r>
        <w:t xml:space="preserve">1. Erdbestattung,</w:t>
      </w:r>
    </w:p>
    <w:p>
      <w:pPr>
        <w:ind w:left="420"/>
      </w:pPr>
      <w:r>
        <w:t xml:space="preserve">2. Feuerbestattung oder</w:t>
      </w:r>
    </w:p>
    <w:p>
      <w:pPr>
        <w:ind w:left="420"/>
      </w:pPr>
      <w:r>
        <w:t xml:space="preserve">3. Exhumierung oder Umbettung.</w:t>
      </w:r>
    </w:p>
    <w:p>
      <w:r>
        <w:t xml:space="preserve">Auf dieser Grundlage ist eine Dokumentation zu erstellen, die insbesondere Maßnahmen zur Beseitigung der Mängel aufzeigt.</w:t>
      </w:r>
    </w:p>
    <w:p>
      <w:r>
        <w:t xml:space="preserve">(3) Die Situationsaufgabe ist aus einem Bereich nach Absatz 2 Satz 1 Nummer 1, 2 oder 3 vorzugeben, der nicht Gegenstand des Meisterprüfungsprojekts nach § 4 Absatz 3 war.</w:t>
      </w:r>
    </w:p>
    <w:p>
      <w:r>
        <w:rPr>
          <w:color w:val="555555"/>
          <w:sz w:val="17"/>
        </w:rPr>
        <w:t xml:space="preserve">Zitiervorschlag: § 6 BestMstrV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