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BestGkSV (Brandenburg) — Inkrafttreten</w:t>
      </w:r>
    </w:p>
    <w:p>
      <w:r>
        <w:rPr>
          <w:color w:val="555555"/>
          <w:sz w:val="18"/>
        </w:rPr>
        <w:t xml:space="preserve">Verordnung zur Bestimmung der Städte Bernau bei Berlin, Falkensee und Oranienburg zu Großen kreisangehörigen Städten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1.</w:t>
      </w:r>
    </w:p>
    <w:p>
      <w:r>
        <w:t xml:space="preserve">Januar 2011 in Kraft.</w:t>
      </w:r>
    </w:p>
    <w:p>
      <w:r>
        <w:t xml:space="preserve">Potsdam, den 13. Dezember 2010</w:t>
      </w:r>
    </w:p>
    <w:p>
      <w:r>
        <w:t xml:space="preserve">Der</w:t>
      </w:r>
    </w:p>
    <w:p>
      <w:r>
        <w:t xml:space="preserve">Minister des Innern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BestGkSV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https://recht.nulegal.eu/gesetze/BestGkSV/3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