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BestGkSV (Brandenburg) — Übergangsvorschrift</w:t>
      </w:r>
    </w:p>
    <w:p>
      <w:r>
        <w:rPr>
          <w:color w:val="555555"/>
          <w:sz w:val="18"/>
        </w:rPr>
        <w:t xml:space="preserve">Verordnung zur Bestimmung der Städte Bernau bei Berlin, Falkensee und Oranienburg zu Großen kreisangehörigen Städten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Unbeschadet der Bestimmung</w:t>
      </w:r>
    </w:p>
    <w:p>
      <w:r>
        <w:t xml:space="preserve">in § 1 sind für die in § 1 Satz 1 der Verordnung über die Zuständigkeit in</w:t>
      </w:r>
    </w:p>
    <w:p>
      <w:r>
        <w:t xml:space="preserve">Staatsangehörigkeitssachen vom 12. März 1992 (GVBl. II S. 82), die zuletzt durch</w:t>
      </w:r>
    </w:p>
    <w:p>
      <w:r>
        <w:t xml:space="preserve">Verordnung vom 23. November 2004 (GVBl. II S. 890) geändert worden ist,</w:t>
      </w:r>
    </w:p>
    <w:p>
      <w:r>
        <w:t xml:space="preserve">genannten Aufgaben als Große kreisangehörige Stadt nur die Städte zuständig, die</w:t>
      </w:r>
    </w:p>
    <w:p>
      <w:r>
        <w:t xml:space="preserve">diesen Status am 31. Dezember 2004 hatten. § 1 Absatz 4 der Kommunalverfassung</w:t>
      </w:r>
    </w:p>
    <w:p>
      <w:r>
        <w:t xml:space="preserve">des Landes Brandenburg bleibt unberührt.</w:t>
      </w:r>
    </w:p>
    <w:p>
      <w:r>
        <w:rPr>
          <w:color w:val="555555"/>
          <w:sz w:val="17"/>
        </w:rPr>
        <w:t xml:space="preserve">Zitiervorschlag: § 2 BestGkSV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https://recht.nulegal.eu/gesetze/BestGkSV/2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