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BestG (Bayern) — Anforderungen für Friedhöfe und Grabstätten</w:t>
      </w:r>
    </w:p>
    <w:p>
      <w:r>
        <w:rPr>
          <w:color w:val="555555"/>
          <w:sz w:val="18"/>
        </w:rPr>
        <w:t xml:space="preserve">Bestattungsgesetz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Friedhöfe und die einzelnen Grabstätten müssen so beschaffen sein, daß sie dem Friedhofszweck (Art. 8 Abs. 1), den Erfordernissen des Wasserhaushalts und der öffentlichen Sicherheit, insbesondere der Gesundheit, entsprechen. Die Friedhöfe müssen sich in das Orts- und Landschaftsbild einfügen; die Erfordernisse einer geordneten städtebaulichen Entwicklung und die Ziele der Raumordnung sind zu beachten, die Grundsätze und die sonstigen Erfordernisse der Raumordnung sind zu berücksichtigen.</w:t>
      </w:r>
    </w:p>
    <w:p>
      <w:r>
        <w:t xml:space="preserve">(2) Friedhöfe dürfen nur mit Genehmigung der zuständigen Behörde angelegt oder wesentlich geändert werden. Die Genehmigung ist zu erteilen, wenn die Voraussetzungen des Absatzes 1 erfüllt sind und sonstige Vorschriften des öffentlichen Rechts nicht entgegenstehen. Die Genehmigung ist nicht erforderlich, wenn die Anlegung oder Änderung des Friedhofs in einem Bebauungsplan festgesetzt ist.</w:t>
      </w:r>
    </w:p>
    <w:p>
      <w:r>
        <w:t xml:space="preserve">(3) An die Gestaltung der Grabstätten in bestimmten Friedhöfen oder Friedhofsteilen können über den Absatz 1 hinausgehende Anforderungen gestellt werden, wenn im Gemeindegebiet andere Friedhöfe oder Friedhofsteile zur Verfügung stehen, für die solche zusätzlichen Anforderungen nicht gelten. Für Gemeindefriedhöfe darf von Satz 1 nicht zum Nachteil anderer Friedhöfe Gebrauch gemacht werden.</w:t>
      </w:r>
    </w:p>
    <w:p>
      <w:r>
        <w:rPr>
          <w:color w:val="555555"/>
          <w:sz w:val="17"/>
        </w:rPr>
        <w:t xml:space="preserve">Zitiervorschlag: Art 9 BestG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