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BestG (Bayern) — Einschränkung von Grundrechten</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 Grund dieses Gesetzes kann das Grundrecht der Unverletzlichkeit der Wohnung eingeschränkt werden (Art. 13 des Grundgesetzes, Art. 106 der Verfassung).</w:t>
      </w:r>
    </w:p>
    <w:p>
      <w:r>
        <w:t xml:space="preserve">(2) Für eine Maßnahme auf Grund dieses Gesetzes, die eine Enteignung enthält, ist dem Eigentümer oder dem sonstigen Berechtigten nach den Vorschriften des Bayerischen Gesetzes über die entschädigungspflichtige Enteignung Entschädigung in Geld zu leisten.</w:t>
      </w:r>
    </w:p>
    <w:p>
      <w:r>
        <w:t xml:space="preserve">[Amtl. Anm.:] BGBl. FN 100-1</w:t>
      </w:r>
    </w:p>
    <w:p>
      <w:r>
        <w:t xml:space="preserve">[Amtl. Anm.:] BayRS 100-1-S</w:t>
      </w:r>
    </w:p>
    <w:p>
      <w:r>
        <w:rPr>
          <w:color w:val="555555"/>
          <w:sz w:val="17"/>
        </w:rPr>
        <w:t xml:space="preserve">Zitiervorschlag: Art 19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