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BestG (Bayern) — Verpflichtete</w:t>
      </w:r>
    </w:p>
    <w:p>
      <w:r>
        <w:rPr>
          <w:color w:val="555555"/>
          <w:sz w:val="18"/>
        </w:rPr>
        <w:t xml:space="preserve">Bestattungsgesetz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für Gesundheit, Pflege und Prävention wird ermächtigt, durch Rechtsverordnung zu bestimmen, wer die Leichenschau zu veranlassen und für die Bestattung, die ihr vorausgehenden notwendigen Verrichtungen und für Umbettungen zu sorgen hat, unter welchen Voraussetzungen diese Verpflichtungen bestehen und wie und innerhalb welcher Zeit sie zu erfüllen sind.</w:t>
      </w:r>
    </w:p>
    <w:p>
      <w:r>
        <w:t xml:space="preserve">(2) Nach Absatz 1 können verpflichtet werden</w:t>
      </w:r>
    </w:p>
    <w:p>
      <w:r>
        <w:t xml:space="preserve">1. die Ehegattin oder der Ehegatte, die Lebenspartnerin oder der Lebenspartner, die Verwandten und Verschwägerten auf- und absteigender Linie, die Adoptiveltern und Adoptivkinder, die Geschwister des Verstorbenen und deren Kinder; die Reihenfolge der Verpflichteten soll sich nach dem Grad der Verwandtschaft oder Schwägerschaft richten,</w:t>
      </w:r>
    </w:p>
    <w:p>
      <w:r>
        <w:t xml:space="preserve">2. die Personensorgeberechtigten,</w:t>
      </w:r>
    </w:p>
    <w:p>
      <w:r>
        <w:t xml:space="preserve">3. der Betreuer, soweit die Sorge für die Person des Verstorbenen zu dessen Lebzeiten zu seinem Aufgabenkreis gehört hat.</w:t>
      </w:r>
    </w:p>
    <w:p>
      <w:r>
        <w:t xml:space="preserve">Zur Veranlassung der Leichenschau können außerdem verpflichtet werden der Eigentümer und der Inhaber der tatsächlichen Gewalt von Grundstücken, Räumen und beweglichen Sachen, wenn sich die Leiche dort befindet, in Betrieben, Heimen, Schulen, Anstalten und sonstigen Einrichtungen, außerdem deren Leiter und in Krankenhäusern und Entbindungsheimen die Ärzte in leitender Stellung.</w:t>
      </w:r>
    </w:p>
    <w:p>
      <w:r>
        <w:rPr>
          <w:color w:val="555555"/>
          <w:sz w:val="17"/>
        </w:rPr>
        <w:t xml:space="preserve">Zitiervorschlag: Art 15 BestG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