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13a BestG (Bayern) — Enteignung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Schaffung oder Änderung von Bestattungseinrichtungen kann nach den Vorschriften des Bayerischen Gesetzes über die entschädigungspflichtige Enteignung 1) BayRS 2141-1-I</w:t>
      </w:r>
    </w:p>
    <w:p>
      <w:r>
        <w:t xml:space="preserve">enteignet werden.</w:t>
      </w:r>
    </w:p>
    <w:p>
      <w:r>
        <w:rPr>
          <w:color w:val="555555"/>
          <w:sz w:val="17"/>
        </w:rPr>
        <w:t xml:space="preserve">Zitiervorschlag: Art 13a BestG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https://recht.nulegal.eu/gesetze/BestG/13a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