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BestG (Bayern) — Feuerbestattungsanlagen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Feuerbestattungsanlagen müssen so beschaffen sein und so betrieben werden, daß den Anforderungen des Art. 5 entsprochen werden kann.</w:t>
      </w:r>
    </w:p>
    <w:p>
      <w:r>
        <w:t xml:space="preserve">(2) Feuerbestattungsanlagen dürfen nur mit Genehmigung der zuständigen Behörde betrieben oder in ihrem Betrieb wesentlich geändert werden; der Genehmigung bedarf es nicht, wenn die Errichtung, der Betrieb oder die Änderung der Anlage einer baurechtlichen Gestattung bedarf oder wenn eine Zustimmung wegen Art. 73 Abs. 1 Satz 3 BayBO nicht erforderlich ist. Die Genehmigung ist zu erteilen, wenn die Voraussetzungen des Absatzes 1 erfüllt sind und sonstige Vorschriften des öffentlichen Rechts nicht entgegenstehen. Der Betrieb der Feuerbestattungsanlage kann untersagt werden, wenn er Vorschriften des öffentlichen Rechts widerspricht.</w:t>
      </w:r>
    </w:p>
    <w:p>
      <w:r>
        <w:t xml:space="preserve">(3) Art. 8 Abs. 3 gilt entsprechend.</w:t>
      </w:r>
    </w:p>
    <w:p>
      <w:r>
        <w:rPr>
          <w:color w:val="555555"/>
          <w:sz w:val="17"/>
        </w:rPr>
        <w:t xml:space="preserve">Zitiervorschlag: Art 13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