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BestG (Bayern) — Schließung und Entwidmung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Friedhofsträger kann den Friedhof für weitere Beisetzungen schließen. Er darf den Friedhof entwidmen, wenn sämtliche Ruhezeiten abgelaufen sind. Die Sätze 1 und 2 gelten nicht, soweit Grabnutzungsrechte entgegenstehen.</w:t>
      </w:r>
    </w:p>
    <w:p>
      <w:r>
        <w:t xml:space="preserve">(2) Zur Abwehr von Gefahren für die öffentliche Sicherheit kann die zuständige Behörde nach Anhörung des Friedhofsträgers Friedhöfe für weitere Beisetzungen schließen und Umbettungen anordnen, ohne an Ruhezeiten gebunden zu sein.</w:t>
      </w:r>
    </w:p>
    <w:p>
      <w:r>
        <w:t xml:space="preserve">(3) Wird ein Friedhof auf Grund gesetzlicher Vorschriften für einen anderen öffentlichen Zweck in Anspruch genommen, so sind Leichen und Aschenreste Verstorbener, deren Ruhezeit noch nicht abgelaufen ist, umzubetten.</w:t>
      </w:r>
    </w:p>
    <w:p>
      <w:r>
        <w:t xml:space="preserve">(4) Die Absätze 1 bis 3 gelten für Teile eines Friedhofs entsprechend.</w:t>
      </w:r>
    </w:p>
    <w:p>
      <w:r>
        <w:rPr>
          <w:color w:val="555555"/>
          <w:sz w:val="17"/>
        </w:rPr>
        <w:t xml:space="preserve">Zitiervorschlag: Art 11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